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2498" w14:textId="77777777" w:rsidR="00824664" w:rsidRDefault="00824664" w:rsidP="00824664">
      <w:pPr>
        <w:spacing w:after="0" w:line="240" w:lineRule="auto"/>
        <w:jc w:val="center"/>
        <w:rPr>
          <w:rFonts w:ascii="Verdana" w:eastAsia="Verdana" w:hAnsi="Verdana" w:cs="Verdana"/>
          <w:color w:val="000000" w:themeColor="text1"/>
        </w:rPr>
      </w:pPr>
    </w:p>
    <w:p w14:paraId="1FFB6643" w14:textId="531C2AB4" w:rsidR="00824664" w:rsidRDefault="00824664" w:rsidP="00824664">
      <w:pPr>
        <w:spacing w:after="0" w:line="240" w:lineRule="auto"/>
        <w:jc w:val="center"/>
        <w:outlineLvl w:val="1"/>
        <w:rPr>
          <w:rFonts w:ascii="Verdana" w:eastAsia="Verdana" w:hAnsi="Verdana" w:cs="Verdana"/>
          <w:color w:val="000000" w:themeColor="text1"/>
        </w:rPr>
      </w:pPr>
      <w:bookmarkStart w:id="0" w:name="_Toc148270964"/>
      <w:r w:rsidRPr="008A688A">
        <w:rPr>
          <w:rFonts w:ascii="Verdana" w:eastAsia="Verdana" w:hAnsi="Verdana" w:cs="Verdana"/>
          <w:color w:val="000000" w:themeColor="text1"/>
        </w:rPr>
        <w:t>In Re: Capital One Consumer Data Security Breach Litigation</w:t>
      </w:r>
      <w:bookmarkEnd w:id="0"/>
    </w:p>
    <w:p w14:paraId="62B4783D" w14:textId="767274E5" w:rsidR="00824664" w:rsidRPr="008A688A" w:rsidRDefault="00824664" w:rsidP="00824664">
      <w:pPr>
        <w:spacing w:after="0" w:line="240" w:lineRule="auto"/>
        <w:jc w:val="center"/>
        <w:rPr>
          <w:rFonts w:ascii="Verdana" w:eastAsia="Verdana" w:hAnsi="Verdana" w:cs="Verdana"/>
          <w:color w:val="000000" w:themeColor="text1"/>
        </w:rPr>
      </w:pPr>
      <w:r w:rsidRPr="008A688A">
        <w:rPr>
          <w:rFonts w:ascii="Verdana" w:eastAsia="Verdana" w:hAnsi="Verdana" w:cs="Verdana"/>
          <w:color w:val="000000" w:themeColor="text1"/>
        </w:rPr>
        <w:t>488 F.Supp.3d 374 (2020)</w:t>
      </w:r>
    </w:p>
    <w:p w14:paraId="4075B64B" w14:textId="77777777" w:rsidR="00824664" w:rsidRPr="008A688A" w:rsidRDefault="00824664" w:rsidP="00824664">
      <w:pPr>
        <w:spacing w:after="0" w:line="240" w:lineRule="auto"/>
        <w:jc w:val="center"/>
        <w:rPr>
          <w:rFonts w:ascii="Verdana" w:eastAsia="Verdana" w:hAnsi="Verdana" w:cs="Verdana"/>
          <w:color w:val="000000" w:themeColor="text1"/>
        </w:rPr>
      </w:pPr>
      <w:r w:rsidRPr="008A688A">
        <w:rPr>
          <w:rFonts w:ascii="Verdana" w:eastAsia="Verdana" w:hAnsi="Verdana" w:cs="Verdana"/>
          <w:color w:val="000000" w:themeColor="text1"/>
        </w:rPr>
        <w:t>United States District Court, E.D. Virginia</w:t>
      </w:r>
    </w:p>
    <w:p w14:paraId="7EDF37EE" w14:textId="77777777" w:rsidR="00824664" w:rsidRPr="008A688A" w:rsidRDefault="00824664" w:rsidP="00824664">
      <w:pPr>
        <w:spacing w:after="0" w:line="240" w:lineRule="auto"/>
        <w:jc w:val="center"/>
        <w:rPr>
          <w:rFonts w:ascii="Verdana" w:eastAsia="Verdana" w:hAnsi="Verdana" w:cs="Verdana"/>
          <w:color w:val="000000" w:themeColor="text1"/>
        </w:rPr>
      </w:pPr>
    </w:p>
    <w:p w14:paraId="547199C0" w14:textId="77777777" w:rsidR="00824664" w:rsidRPr="008A688A" w:rsidRDefault="00824664" w:rsidP="00824664">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ANTHONY J. TRENGA, United States District Judge</w:t>
      </w:r>
    </w:p>
    <w:p w14:paraId="252430FF" w14:textId="77777777" w:rsidR="00824664" w:rsidRPr="008A688A" w:rsidRDefault="00824664" w:rsidP="00824664">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xml:space="preserve">Defendants Capital One and Amazon have filed Motions to Dismiss the Amended Corrected Representative Complaint. [Doc. 386] (“Capital One Motion”); [Doc. 394] (“Amazon Motion”) (the “Motions”). </w:t>
      </w:r>
    </w:p>
    <w:p w14:paraId="78785CBB" w14:textId="77777777" w:rsidR="00824664" w:rsidRPr="008A688A" w:rsidRDefault="00824664" w:rsidP="00824664">
      <w:pPr>
        <w:spacing w:after="0" w:line="240" w:lineRule="auto"/>
        <w:jc w:val="both"/>
        <w:rPr>
          <w:rFonts w:ascii="Verdana" w:eastAsia="Verdana" w:hAnsi="Verdana" w:cs="Verdana"/>
          <w:color w:val="000000" w:themeColor="text1"/>
        </w:rPr>
      </w:pPr>
    </w:p>
    <w:p w14:paraId="3C8A77AE" w14:textId="77777777" w:rsidR="00824664" w:rsidRPr="008A688A" w:rsidRDefault="00824664" w:rsidP="00824664">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w:t>
      </w:r>
    </w:p>
    <w:p w14:paraId="271E30E5" w14:textId="77777777" w:rsidR="00824664" w:rsidRDefault="00824664" w:rsidP="00824664">
      <w:pPr>
        <w:spacing w:after="0" w:line="240" w:lineRule="auto"/>
        <w:jc w:val="both"/>
        <w:rPr>
          <w:rFonts w:ascii="Verdana" w:eastAsia="Verdana" w:hAnsi="Verdana" w:cs="Verdana"/>
          <w:color w:val="000000" w:themeColor="text1"/>
        </w:rPr>
      </w:pPr>
    </w:p>
    <w:p w14:paraId="3B4FFC45" w14:textId="77777777" w:rsidR="00CE3AD9" w:rsidRPr="00226994" w:rsidRDefault="00CE3AD9" w:rsidP="00CE3AD9">
      <w:pPr>
        <w:spacing w:before="400" w:after="0" w:line="275" w:lineRule="atLeast"/>
        <w:jc w:val="center"/>
        <w:rPr>
          <w:rFonts w:ascii="Verdana" w:hAnsi="Verdana"/>
          <w:color w:val="000000" w:themeColor="text1"/>
        </w:rPr>
      </w:pPr>
      <w:bookmarkStart w:id="1" w:name="co_anchor_Ib62ed451329d11edbae291366335"/>
      <w:r w:rsidRPr="00226994">
        <w:rPr>
          <w:rFonts w:ascii="Verdana" w:hAnsi="Verdana"/>
          <w:b/>
          <w:color w:val="000000" w:themeColor="text1"/>
        </w:rPr>
        <w:t>I. BACKGROUND</w:t>
      </w:r>
    </w:p>
    <w:bookmarkEnd w:id="1"/>
    <w:p w14:paraId="068DB99D" w14:textId="77777777" w:rsidR="00CE3AD9" w:rsidRPr="00226994" w:rsidRDefault="00CE3AD9" w:rsidP="00CE3AD9">
      <w:pPr>
        <w:spacing w:before="200" w:after="0" w:line="275" w:lineRule="atLeast"/>
        <w:jc w:val="both"/>
        <w:rPr>
          <w:rFonts w:ascii="Verdana" w:hAnsi="Verdana"/>
          <w:color w:val="000000" w:themeColor="text1"/>
        </w:rPr>
      </w:pPr>
      <w:r w:rsidRPr="00226994">
        <w:rPr>
          <w:rFonts w:ascii="Verdana" w:hAnsi="Verdana"/>
          <w:color w:val="000000" w:themeColor="text1"/>
        </w:rPr>
        <w:t xml:space="preserve">The following facts are alleged in Plaintiff's Amended Corrected Representative Consumer Class Action Complaint [Doc. 826] (“Amended Complaint” or “Am. </w:t>
      </w:r>
      <w:proofErr w:type="spellStart"/>
      <w:r w:rsidRPr="00226994">
        <w:rPr>
          <w:rFonts w:ascii="Verdana" w:hAnsi="Verdana"/>
          <w:color w:val="000000" w:themeColor="text1"/>
        </w:rPr>
        <w:t>Compl</w:t>
      </w:r>
      <w:proofErr w:type="spellEnd"/>
      <w:r w:rsidRPr="00226994">
        <w:rPr>
          <w:rFonts w:ascii="Verdana" w:hAnsi="Verdana"/>
          <w:color w:val="000000" w:themeColor="text1"/>
        </w:rPr>
        <w:t>.”), which are accepted as true for purposes of this Order.</w:t>
      </w:r>
      <w:bookmarkStart w:id="2" w:name="co_fnRef_B00022051893074_ID0EZUDK_1"/>
      <w:r w:rsidRPr="00226994">
        <w:rPr>
          <w:rFonts w:ascii="Verdana" w:hAnsi="Verdana"/>
          <w:color w:val="000000" w:themeColor="text1"/>
        </w:rPr>
        <w:fldChar w:fldCharType="begin"/>
      </w:r>
      <w:r w:rsidRPr="00226994">
        <w:rPr>
          <w:rFonts w:ascii="Verdana" w:hAnsi="Verdana"/>
          <w:color w:val="000000" w:themeColor="text1"/>
        </w:rPr>
        <w:instrText xml:space="preserve"> HYPERLINK \l "co_footnote_B00022051893074_1" \h </w:instrText>
      </w:r>
      <w:r w:rsidRPr="00226994">
        <w:rPr>
          <w:rFonts w:ascii="Verdana" w:hAnsi="Verdana"/>
          <w:color w:val="000000" w:themeColor="text1"/>
        </w:rPr>
      </w:r>
      <w:r w:rsidRPr="00226994">
        <w:rPr>
          <w:rFonts w:ascii="Verdana" w:hAnsi="Verdana"/>
          <w:color w:val="000000" w:themeColor="text1"/>
        </w:rPr>
        <w:fldChar w:fldCharType="separate"/>
      </w:r>
      <w:r w:rsidRPr="00226994">
        <w:rPr>
          <w:rFonts w:ascii="Verdana" w:hAnsi="Verdana"/>
          <w:color w:val="000000" w:themeColor="text1"/>
          <w:vertAlign w:val="superscript"/>
        </w:rPr>
        <w:t>2</w:t>
      </w:r>
      <w:r w:rsidRPr="00226994">
        <w:rPr>
          <w:rFonts w:ascii="Verdana" w:hAnsi="Verdana"/>
          <w:color w:val="000000" w:themeColor="text1"/>
          <w:vertAlign w:val="superscript"/>
        </w:rPr>
        <w:fldChar w:fldCharType="end"/>
      </w:r>
      <w:bookmarkEnd w:id="2"/>
      <w:r w:rsidRPr="00226994">
        <w:rPr>
          <w:rFonts w:ascii="Verdana" w:hAnsi="Verdana"/>
          <w:color w:val="000000" w:themeColor="text1"/>
        </w:rPr>
        <w:t xml:space="preserve"> </w:t>
      </w:r>
      <w:r w:rsidRPr="00226994">
        <w:rPr>
          <w:rFonts w:ascii="Verdana" w:hAnsi="Verdana"/>
          <w:i/>
          <w:color w:val="000000" w:themeColor="text1"/>
        </w:rPr>
        <w:t xml:space="preserve">See </w:t>
      </w:r>
      <w:hyperlink r:id="rId5" w:anchor="co_pp_sp_780_555">
        <w:r w:rsidRPr="00226994">
          <w:rPr>
            <w:rFonts w:ascii="Verdana" w:hAnsi="Verdana"/>
            <w:i/>
            <w:color w:val="000000" w:themeColor="text1"/>
          </w:rPr>
          <w:t>Bell Atl. Corp. v. Twombly</w:t>
        </w:r>
        <w:r w:rsidRPr="00226994">
          <w:rPr>
            <w:rFonts w:ascii="Verdana" w:hAnsi="Verdana"/>
            <w:color w:val="000000" w:themeColor="text1"/>
          </w:rPr>
          <w:t xml:space="preserve">, 550 U.S. 544, 555-56, 127 </w:t>
        </w:r>
        <w:proofErr w:type="spellStart"/>
        <w:r w:rsidRPr="00226994">
          <w:rPr>
            <w:rFonts w:ascii="Verdana" w:hAnsi="Verdana"/>
            <w:color w:val="000000" w:themeColor="text1"/>
          </w:rPr>
          <w:t>S.Ct</w:t>
        </w:r>
        <w:proofErr w:type="spellEnd"/>
        <w:r w:rsidRPr="00226994">
          <w:rPr>
            <w:rFonts w:ascii="Verdana" w:hAnsi="Verdana"/>
            <w:color w:val="000000" w:themeColor="text1"/>
          </w:rPr>
          <w:t>. 1955, 167 L.Ed.2d 929 (2007)</w:t>
        </w:r>
      </w:hyperlink>
      <w:r w:rsidRPr="00226994">
        <w:rPr>
          <w:rFonts w:ascii="Verdana" w:hAnsi="Verdana"/>
          <w:color w:val="000000" w:themeColor="text1"/>
        </w:rPr>
        <w:t>.</w:t>
      </w:r>
    </w:p>
    <w:p w14:paraId="061667A6" w14:textId="77777777" w:rsidR="00CE3AD9" w:rsidRPr="00226994" w:rsidRDefault="00CE3AD9" w:rsidP="00CE3AD9">
      <w:pPr>
        <w:spacing w:after="0" w:line="275" w:lineRule="atLeast"/>
        <w:jc w:val="both"/>
        <w:rPr>
          <w:rFonts w:ascii="Verdana" w:hAnsi="Verdana"/>
          <w:color w:val="000000" w:themeColor="text1"/>
        </w:rPr>
      </w:pPr>
      <w:r w:rsidRPr="00226994">
        <w:rPr>
          <w:rFonts w:ascii="Verdana" w:hAnsi="Verdana"/>
          <w:color w:val="000000" w:themeColor="text1"/>
        </w:rPr>
        <w:t> </w:t>
      </w:r>
    </w:p>
    <w:p w14:paraId="2492F3D8" w14:textId="77777777" w:rsidR="00CE3AD9" w:rsidRPr="00226994" w:rsidRDefault="00CE3AD9" w:rsidP="00CE3AD9">
      <w:pPr>
        <w:spacing w:after="0" w:line="275" w:lineRule="atLeast"/>
        <w:jc w:val="both"/>
        <w:rPr>
          <w:rFonts w:ascii="Verdana" w:hAnsi="Verdana"/>
          <w:color w:val="000000" w:themeColor="text1"/>
        </w:rPr>
      </w:pPr>
      <w:r w:rsidRPr="00226994">
        <w:rPr>
          <w:rFonts w:ascii="Verdana" w:hAnsi="Verdana"/>
          <w:color w:val="000000" w:themeColor="text1"/>
        </w:rPr>
        <w:t xml:space="preserve">On July 29, 2019, Capital One announced it had experienced a data breach of Capital One's Amazon Web Services (“AWS”) cloud environment where Capital One was storing consumers' confidential personal information (“PII”) (the “Data Breach”). The Data Breach was the result of a well-known vulnerability of the AWS cloud to an SSRF </w:t>
      </w:r>
      <w:r>
        <w:rPr>
          <w:rFonts w:ascii="Verdana" w:hAnsi="Verdana"/>
          <w:color w:val="000000" w:themeColor="text1"/>
        </w:rPr>
        <w:t xml:space="preserve">[server-side request forgery] </w:t>
      </w:r>
      <w:r w:rsidRPr="00226994">
        <w:rPr>
          <w:rFonts w:ascii="Verdana" w:hAnsi="Verdana"/>
          <w:color w:val="000000" w:themeColor="text1"/>
        </w:rPr>
        <w:t xml:space="preserve">attack. </w:t>
      </w:r>
      <w:r w:rsidRPr="00226994">
        <w:rPr>
          <w:rFonts w:ascii="Verdana" w:hAnsi="Verdana"/>
          <w:i/>
          <w:color w:val="000000" w:themeColor="text1"/>
        </w:rPr>
        <w:t>See id.</w:t>
      </w:r>
      <w:r w:rsidRPr="00226994">
        <w:rPr>
          <w:rFonts w:ascii="Verdana" w:hAnsi="Verdana"/>
          <w:color w:val="000000" w:themeColor="text1"/>
        </w:rPr>
        <w:t xml:space="preserve"> ¶¶ 2, 46-61. Over 100 million people in the United States and six million people in Canada were affected. Am. </w:t>
      </w:r>
      <w:proofErr w:type="spellStart"/>
      <w:r w:rsidRPr="00226994">
        <w:rPr>
          <w:rFonts w:ascii="Verdana" w:hAnsi="Verdana"/>
          <w:color w:val="000000" w:themeColor="text1"/>
        </w:rPr>
        <w:t>Compl</w:t>
      </w:r>
      <w:proofErr w:type="spellEnd"/>
      <w:r w:rsidRPr="00226994">
        <w:rPr>
          <w:rFonts w:ascii="Verdana" w:hAnsi="Verdana"/>
          <w:color w:val="000000" w:themeColor="text1"/>
        </w:rPr>
        <w:t>. ¶¶ 1, 62. Amazon has described the Data Breach through this alleged SSRF breach as follows:</w:t>
      </w:r>
    </w:p>
    <w:p w14:paraId="34A16336" w14:textId="77777777" w:rsidR="00CE3AD9" w:rsidRPr="00226994" w:rsidRDefault="00CE3AD9" w:rsidP="00CE3AD9">
      <w:pPr>
        <w:spacing w:before="200" w:after="0" w:line="275" w:lineRule="atLeast"/>
        <w:ind w:left="480" w:right="480"/>
        <w:jc w:val="both"/>
        <w:rPr>
          <w:rFonts w:ascii="Verdana" w:hAnsi="Verdana"/>
          <w:color w:val="000000" w:themeColor="text1"/>
        </w:rPr>
      </w:pPr>
      <w:r w:rsidRPr="00226994">
        <w:rPr>
          <w:rFonts w:ascii="Verdana" w:hAnsi="Verdana"/>
          <w:color w:val="000000" w:themeColor="text1"/>
        </w:rPr>
        <w:t>As Capital One outlined in their public announcement, the attack occurred due to a misconfiguration error at the application layer of a firewall installed by Capital One, exacerbated by permissions set by Capital One that were likely broader than intended. After gaining access through the misconfigured firewall and having broader permission to access resources, we believe a SSRF attack was used (which is one of several ways an attacker could have potentially gotten access to data once they got in through the misconfigured firewall).</w:t>
      </w:r>
    </w:p>
    <w:p w14:paraId="2E67DBDF" w14:textId="77777777" w:rsidR="00CE3AD9" w:rsidRPr="00226994" w:rsidRDefault="00CE3AD9" w:rsidP="00CE3AD9">
      <w:pPr>
        <w:spacing w:before="200" w:after="0" w:line="275" w:lineRule="atLeast"/>
        <w:jc w:val="both"/>
        <w:rPr>
          <w:rFonts w:ascii="Verdana" w:hAnsi="Verdana"/>
          <w:color w:val="000000" w:themeColor="text1"/>
        </w:rPr>
      </w:pPr>
      <w:r w:rsidRPr="00226994">
        <w:rPr>
          <w:rFonts w:ascii="Verdana" w:hAnsi="Verdana"/>
          <w:i/>
          <w:color w:val="000000" w:themeColor="text1"/>
        </w:rPr>
        <w:t>Id.</w:t>
      </w:r>
      <w:r w:rsidRPr="00226994">
        <w:rPr>
          <w:rFonts w:ascii="Verdana" w:hAnsi="Verdana"/>
          <w:color w:val="000000" w:themeColor="text1"/>
        </w:rPr>
        <w:t xml:space="preserve"> ¶ 70.</w:t>
      </w:r>
    </w:p>
    <w:p w14:paraId="616AB7E7" w14:textId="77777777" w:rsidR="00CE3AD9" w:rsidRPr="00226994" w:rsidRDefault="00CE3AD9" w:rsidP="00CE3AD9">
      <w:pPr>
        <w:spacing w:after="0" w:line="275" w:lineRule="atLeast"/>
        <w:jc w:val="both"/>
        <w:rPr>
          <w:rFonts w:ascii="Verdana" w:hAnsi="Verdana"/>
          <w:color w:val="000000" w:themeColor="text1"/>
        </w:rPr>
      </w:pPr>
      <w:r w:rsidRPr="00226994">
        <w:rPr>
          <w:rFonts w:ascii="Verdana" w:hAnsi="Verdana"/>
          <w:color w:val="000000" w:themeColor="text1"/>
        </w:rPr>
        <w:t> </w:t>
      </w:r>
    </w:p>
    <w:p w14:paraId="561DF41B" w14:textId="77777777" w:rsidR="00CE3AD9" w:rsidRPr="00226994" w:rsidRDefault="00CE3AD9" w:rsidP="00CE3AD9">
      <w:pPr>
        <w:tabs>
          <w:tab w:val="left" w:pos="7290"/>
        </w:tabs>
        <w:spacing w:after="0" w:line="275" w:lineRule="atLeast"/>
        <w:jc w:val="both"/>
        <w:rPr>
          <w:rFonts w:ascii="Verdana" w:hAnsi="Verdana"/>
          <w:color w:val="000000" w:themeColor="text1"/>
        </w:rPr>
      </w:pPr>
      <w:r w:rsidRPr="00226994">
        <w:rPr>
          <w:rFonts w:ascii="Verdana" w:hAnsi="Verdana"/>
          <w:color w:val="000000" w:themeColor="text1"/>
        </w:rPr>
        <w:t xml:space="preserve">Despite the sophisticated nature of the hack, </w:t>
      </w:r>
      <w:r w:rsidRPr="00226994">
        <w:rPr>
          <w:rFonts w:ascii="Verdana" w:hAnsi="Verdana"/>
          <w:i/>
          <w:color w:val="000000" w:themeColor="text1"/>
        </w:rPr>
        <w:t>id.</w:t>
      </w:r>
      <w:r w:rsidRPr="00226994">
        <w:rPr>
          <w:rFonts w:ascii="Verdana" w:hAnsi="Verdana"/>
          <w:color w:val="000000" w:themeColor="text1"/>
        </w:rPr>
        <w:t xml:space="preserve"> ¶ 72, Defendants were well-aware of the AWS cloud's vulnerabilities to unauthorized access through a SSRF attack, </w:t>
      </w:r>
      <w:r w:rsidRPr="00226994">
        <w:rPr>
          <w:rFonts w:ascii="Verdana" w:hAnsi="Verdana"/>
          <w:i/>
          <w:color w:val="000000" w:themeColor="text1"/>
        </w:rPr>
        <w:t>Id.</w:t>
      </w:r>
      <w:r w:rsidRPr="00226994">
        <w:rPr>
          <w:rFonts w:ascii="Verdana" w:hAnsi="Verdana"/>
          <w:color w:val="000000" w:themeColor="text1"/>
        </w:rPr>
        <w:t xml:space="preserve"> ¶¶ 46-49. Nevertheless, Capital One chose to place and aggregate its most sensitive consumer information on these susceptible servers and behind AWS's flawed firewall, </w:t>
      </w:r>
      <w:r w:rsidRPr="00226994">
        <w:rPr>
          <w:rFonts w:ascii="Verdana" w:hAnsi="Verdana"/>
          <w:i/>
          <w:color w:val="000000" w:themeColor="text1"/>
        </w:rPr>
        <w:t>Id.</w:t>
      </w:r>
      <w:r w:rsidRPr="00226994">
        <w:rPr>
          <w:rFonts w:ascii="Verdana" w:hAnsi="Verdana"/>
          <w:color w:val="000000" w:themeColor="text1"/>
        </w:rPr>
        <w:t xml:space="preserve"> ¶¶ 44, 47-50, and </w:t>
      </w:r>
      <w:proofErr w:type="gramStart"/>
      <w:r w:rsidRPr="00226994">
        <w:rPr>
          <w:rFonts w:ascii="Verdana" w:hAnsi="Verdana"/>
          <w:color w:val="000000" w:themeColor="text1"/>
        </w:rPr>
        <w:t>in an attempt to</w:t>
      </w:r>
      <w:proofErr w:type="gramEnd"/>
      <w:r w:rsidRPr="00226994">
        <w:rPr>
          <w:rFonts w:ascii="Verdana" w:hAnsi="Verdana"/>
          <w:color w:val="000000" w:themeColor="text1"/>
        </w:rPr>
        <w:t xml:space="preserve"> protect against this vulnerability, Capital One and Amazon jointly developed a product called Cloud Custodian, whose purpose was to address the SSRF threat by encrypting data on the AWS servers. </w:t>
      </w:r>
      <w:r w:rsidRPr="00226994">
        <w:rPr>
          <w:rFonts w:ascii="Verdana" w:hAnsi="Verdana"/>
          <w:i/>
          <w:color w:val="000000" w:themeColor="text1"/>
        </w:rPr>
        <w:t>Id.</w:t>
      </w:r>
      <w:r w:rsidRPr="00226994">
        <w:rPr>
          <w:rFonts w:ascii="Verdana" w:hAnsi="Verdana"/>
          <w:color w:val="000000" w:themeColor="text1"/>
        </w:rPr>
        <w:t xml:space="preserve"> ¶¶ 56-58. But </w:t>
      </w:r>
      <w:r w:rsidRPr="00226994">
        <w:rPr>
          <w:rFonts w:ascii="Verdana" w:hAnsi="Verdana"/>
          <w:color w:val="000000" w:themeColor="text1"/>
        </w:rPr>
        <w:lastRenderedPageBreak/>
        <w:t xml:space="preserve">these efforts were inadequate to secure Capital One customers' data. </w:t>
      </w:r>
      <w:r w:rsidRPr="00226994">
        <w:rPr>
          <w:rFonts w:ascii="Verdana" w:hAnsi="Verdana"/>
          <w:i/>
          <w:color w:val="000000" w:themeColor="text1"/>
        </w:rPr>
        <w:t>Id.</w:t>
      </w:r>
      <w:r w:rsidRPr="00226994">
        <w:rPr>
          <w:rFonts w:ascii="Verdana" w:hAnsi="Verdana"/>
          <w:color w:val="000000" w:themeColor="text1"/>
        </w:rPr>
        <w:t xml:space="preserve"> ¶ 58. Indeed, if an unauthorized individual were able to gain access to a credential in the AWS cloud environment, known technically as an “Identity Access Management” role, the credential would allow the unauthorized individual broad access beyond the firewall protecting the cloud and automatic decryption of the data stored in the cloud. </w:t>
      </w:r>
      <w:r w:rsidRPr="00226994">
        <w:rPr>
          <w:rFonts w:ascii="Verdana" w:hAnsi="Verdana"/>
          <w:i/>
          <w:color w:val="000000" w:themeColor="text1"/>
        </w:rPr>
        <w:t>Id.</w:t>
      </w:r>
      <w:r w:rsidRPr="00226994">
        <w:rPr>
          <w:rFonts w:ascii="Verdana" w:hAnsi="Verdana"/>
          <w:color w:val="000000" w:themeColor="text1"/>
        </w:rPr>
        <w:t xml:space="preserve"> ¶¶ 47-54, 58-61. In other words, once in the AWS server environment, any individual could access, in Capital One's internal servers an aggregated collection of customers' PII (a data lake), the precise vulnerability exploited to exfiltrate Capital One's customer data in the Data Breach. </w:t>
      </w:r>
      <w:r w:rsidRPr="00226994">
        <w:rPr>
          <w:rFonts w:ascii="Verdana" w:hAnsi="Verdana"/>
          <w:i/>
          <w:color w:val="000000" w:themeColor="text1"/>
        </w:rPr>
        <w:t>See id.</w:t>
      </w:r>
      <w:r w:rsidRPr="00226994">
        <w:rPr>
          <w:rFonts w:ascii="Verdana" w:hAnsi="Verdana"/>
          <w:color w:val="000000" w:themeColor="text1"/>
        </w:rPr>
        <w:t xml:space="preserve"> ¶¶ 65-73.</w:t>
      </w:r>
    </w:p>
    <w:p w14:paraId="562A8BD2" w14:textId="77777777" w:rsidR="00CE3AD9" w:rsidRPr="00226994" w:rsidRDefault="00CE3AD9" w:rsidP="00CE3AD9">
      <w:pPr>
        <w:spacing w:after="0" w:line="275" w:lineRule="atLeast"/>
        <w:jc w:val="both"/>
        <w:rPr>
          <w:rFonts w:ascii="Verdana" w:hAnsi="Verdana"/>
          <w:color w:val="000000" w:themeColor="text1"/>
        </w:rPr>
      </w:pPr>
      <w:r w:rsidRPr="00226994">
        <w:rPr>
          <w:rFonts w:ascii="Verdana" w:hAnsi="Verdana"/>
          <w:color w:val="000000" w:themeColor="text1"/>
        </w:rPr>
        <w:t> </w:t>
      </w:r>
    </w:p>
    <w:p w14:paraId="3942D33A" w14:textId="77777777" w:rsidR="00CE3AD9" w:rsidRPr="00226994" w:rsidRDefault="00CE3AD9" w:rsidP="00CE3AD9">
      <w:pPr>
        <w:spacing w:after="0" w:line="275" w:lineRule="atLeast"/>
        <w:jc w:val="both"/>
        <w:rPr>
          <w:rFonts w:ascii="Verdana" w:hAnsi="Verdana"/>
          <w:color w:val="000000" w:themeColor="text1"/>
        </w:rPr>
      </w:pPr>
      <w:r w:rsidRPr="00226994">
        <w:rPr>
          <w:rFonts w:ascii="Verdana" w:hAnsi="Verdana"/>
          <w:color w:val="000000" w:themeColor="text1"/>
        </w:rPr>
        <w:t xml:space="preserve">The Data Breach's occurrence is well documented. Capital One's logs showed a hacker's connections or attempted connections to the AWS server in March and April 2019. However, it was not until July 17, 2019, approximately four months after the Data Breach, that Capital One received an e-mail through its responsible disclosure program raising the possibility that someone had stolen data stored in Capital One's AWS cloud environment. </w:t>
      </w:r>
      <w:r w:rsidRPr="00226994">
        <w:rPr>
          <w:rFonts w:ascii="Verdana" w:hAnsi="Verdana"/>
          <w:i/>
          <w:color w:val="000000" w:themeColor="text1"/>
        </w:rPr>
        <w:t>Id.</w:t>
      </w:r>
      <w:r w:rsidRPr="00226994">
        <w:rPr>
          <w:rFonts w:ascii="Verdana" w:hAnsi="Verdana"/>
          <w:color w:val="000000" w:themeColor="text1"/>
        </w:rPr>
        <w:t xml:space="preserve"> ¶¶ 64-65. Shortly thereafter, the person accused of perpetrating the attack, former AWS systems engineer Paige Thompson, was arrested and indicted in federal court. As alleged in the criminal complaint, Thompson gained unauthorized access to Capital One's AWS environment primarily by exploiting a Web Application Firewall (“WAF”) that monitored traffic to and from Capital One's AWS cloud environment. </w:t>
      </w:r>
      <w:r w:rsidRPr="00226994">
        <w:rPr>
          <w:rFonts w:ascii="Verdana" w:hAnsi="Verdana"/>
          <w:i/>
          <w:color w:val="000000" w:themeColor="text1"/>
        </w:rPr>
        <w:t>Id.</w:t>
      </w:r>
      <w:r w:rsidRPr="00226994">
        <w:rPr>
          <w:rFonts w:ascii="Verdana" w:hAnsi="Verdana"/>
          <w:color w:val="000000" w:themeColor="text1"/>
        </w:rPr>
        <w:t xml:space="preserve"> ¶¶ 65, 67. By exploiting the WAF, Thompson was able to retrieve, access, and exfiltrate data from a portion of the AWS Simple Storage Service buckets in Capital One's AWS environment. </w:t>
      </w:r>
      <w:r w:rsidRPr="00226994">
        <w:rPr>
          <w:rFonts w:ascii="Verdana" w:hAnsi="Verdana"/>
          <w:i/>
          <w:color w:val="000000" w:themeColor="text1"/>
        </w:rPr>
        <w:t>Id.</w:t>
      </w:r>
      <w:r w:rsidRPr="00226994">
        <w:rPr>
          <w:rFonts w:ascii="Verdana" w:hAnsi="Verdana"/>
          <w:color w:val="000000" w:themeColor="text1"/>
        </w:rPr>
        <w:t xml:space="preserve"> ¶ 67. Thompson ultimately stole approximately 1.75 terabytes of data on March 22-23, 2019. In addition to the access on March 22, 2019 and 23, 2019, Thompson had also scanned, probed, or accessed Capital One's network on five (5) further instances over a three-month period: March 4, March 12, April 2, April 19, and May 26, 2019.</w:t>
      </w:r>
    </w:p>
    <w:p w14:paraId="53AE2D0A" w14:textId="77777777" w:rsidR="00CE3AD9" w:rsidRPr="00226994" w:rsidRDefault="00CE3AD9" w:rsidP="00CE3AD9">
      <w:pPr>
        <w:spacing w:after="0" w:line="275" w:lineRule="atLeast"/>
        <w:jc w:val="both"/>
        <w:rPr>
          <w:rFonts w:ascii="Verdana" w:hAnsi="Verdana"/>
          <w:color w:val="000000" w:themeColor="text1"/>
        </w:rPr>
      </w:pPr>
      <w:r w:rsidRPr="00226994">
        <w:rPr>
          <w:rFonts w:ascii="Verdana" w:hAnsi="Verdana"/>
          <w:color w:val="000000" w:themeColor="text1"/>
        </w:rPr>
        <w:t> </w:t>
      </w:r>
    </w:p>
    <w:p w14:paraId="5C02B1B9" w14:textId="77777777" w:rsidR="00CE3AD9" w:rsidRPr="00226994" w:rsidRDefault="00CE3AD9" w:rsidP="00CE3AD9">
      <w:pPr>
        <w:spacing w:after="0" w:line="275" w:lineRule="atLeast"/>
        <w:jc w:val="both"/>
        <w:rPr>
          <w:rFonts w:ascii="Verdana" w:hAnsi="Verdana"/>
          <w:color w:val="000000" w:themeColor="text1"/>
        </w:rPr>
      </w:pPr>
      <w:r w:rsidRPr="00226994">
        <w:rPr>
          <w:rFonts w:ascii="Verdana" w:hAnsi="Verdana"/>
          <w:i/>
          <w:color w:val="000000" w:themeColor="text1"/>
        </w:rPr>
        <w:t>Id.</w:t>
      </w:r>
      <w:r w:rsidRPr="00226994">
        <w:rPr>
          <w:rFonts w:ascii="Verdana" w:hAnsi="Verdana"/>
          <w:color w:val="000000" w:themeColor="text1"/>
        </w:rPr>
        <w:t xml:space="preserve"> ¶ 74. And as further detailed in the criminal complaint, on April 21, 2019, Thompson publicly posted on </w:t>
      </w:r>
      <w:proofErr w:type="spellStart"/>
      <w:r w:rsidRPr="00226994">
        <w:rPr>
          <w:rFonts w:ascii="Verdana" w:hAnsi="Verdana"/>
          <w:color w:val="000000" w:themeColor="text1"/>
        </w:rPr>
        <w:t>Github</w:t>
      </w:r>
      <w:proofErr w:type="spellEnd"/>
      <w:r w:rsidRPr="00226994">
        <w:rPr>
          <w:rFonts w:ascii="Verdana" w:hAnsi="Verdana"/>
          <w:color w:val="000000" w:themeColor="text1"/>
        </w:rPr>
        <w:t xml:space="preserve"> instructions on how she carried out the SSRF attack. </w:t>
      </w:r>
      <w:r w:rsidRPr="00226994">
        <w:rPr>
          <w:rFonts w:ascii="Verdana" w:hAnsi="Verdana"/>
          <w:i/>
          <w:color w:val="000000" w:themeColor="text1"/>
        </w:rPr>
        <w:t>Id.</w:t>
      </w:r>
      <w:r w:rsidRPr="00226994">
        <w:rPr>
          <w:rFonts w:ascii="Verdana" w:hAnsi="Verdana"/>
          <w:color w:val="000000" w:themeColor="text1"/>
        </w:rPr>
        <w:t xml:space="preserve"> Thompson then posted openly on Twitter and on public Slack channels over the course of several months that she found huge files of data intended to be secured on various AWS cloud servers—including the cloud server for Capital One. </w:t>
      </w:r>
      <w:r w:rsidRPr="00226994">
        <w:rPr>
          <w:rFonts w:ascii="Verdana" w:hAnsi="Verdana"/>
          <w:i/>
          <w:color w:val="000000" w:themeColor="text1"/>
        </w:rPr>
        <w:t>Id.</w:t>
      </w:r>
      <w:r w:rsidRPr="00226994">
        <w:rPr>
          <w:rFonts w:ascii="Verdana" w:hAnsi="Verdana"/>
          <w:color w:val="000000" w:themeColor="text1"/>
        </w:rPr>
        <w:t xml:space="preserve"> ¶¶ 78-82.</w:t>
      </w:r>
    </w:p>
    <w:p w14:paraId="6E68DEEB" w14:textId="77777777" w:rsidR="00CE3AD9" w:rsidRPr="00226994" w:rsidRDefault="00CE3AD9" w:rsidP="00CE3AD9">
      <w:pPr>
        <w:spacing w:after="0" w:line="275" w:lineRule="atLeast"/>
        <w:jc w:val="both"/>
        <w:rPr>
          <w:rFonts w:ascii="Verdana" w:hAnsi="Verdana"/>
          <w:color w:val="000000" w:themeColor="text1"/>
        </w:rPr>
      </w:pPr>
      <w:r w:rsidRPr="00226994">
        <w:rPr>
          <w:rFonts w:ascii="Verdana" w:hAnsi="Verdana"/>
          <w:color w:val="000000" w:themeColor="text1"/>
        </w:rPr>
        <w:t> </w:t>
      </w:r>
    </w:p>
    <w:p w14:paraId="483CDFF9" w14:textId="77777777" w:rsidR="00CE3AD9" w:rsidRPr="00226994" w:rsidRDefault="00CE3AD9" w:rsidP="00CE3AD9">
      <w:pPr>
        <w:spacing w:after="0" w:line="275" w:lineRule="atLeast"/>
        <w:jc w:val="both"/>
        <w:rPr>
          <w:rFonts w:ascii="Verdana" w:hAnsi="Verdana"/>
          <w:color w:val="000000" w:themeColor="text1"/>
        </w:rPr>
      </w:pPr>
      <w:r w:rsidRPr="00226994">
        <w:rPr>
          <w:rFonts w:ascii="Verdana" w:hAnsi="Verdana"/>
          <w:color w:val="000000" w:themeColor="text1"/>
        </w:rPr>
        <w:t xml:space="preserve">Plaintiffs seek to represent a putative nationwide class of all individuals whose personal information was compromised in the Data Breach, </w:t>
      </w:r>
      <w:r w:rsidRPr="00226994">
        <w:rPr>
          <w:rFonts w:ascii="Verdana" w:hAnsi="Verdana"/>
          <w:i/>
          <w:color w:val="000000" w:themeColor="text1"/>
        </w:rPr>
        <w:t>id.</w:t>
      </w:r>
      <w:r w:rsidRPr="00226994">
        <w:rPr>
          <w:rFonts w:ascii="Verdana" w:hAnsi="Verdana"/>
          <w:color w:val="000000" w:themeColor="text1"/>
        </w:rPr>
        <w:t xml:space="preserve"> ¶ 146, as well as statewide subclasses of affected individuals in California, Florida, New York, Texas, Virginia, and Washington, </w:t>
      </w:r>
      <w:r w:rsidRPr="00226994">
        <w:rPr>
          <w:rFonts w:ascii="Verdana" w:hAnsi="Verdana"/>
          <w:i/>
          <w:color w:val="000000" w:themeColor="text1"/>
        </w:rPr>
        <w:t>id.</w:t>
      </w:r>
      <w:r w:rsidRPr="00226994">
        <w:rPr>
          <w:rFonts w:ascii="Verdana" w:hAnsi="Verdana"/>
          <w:color w:val="000000" w:themeColor="text1"/>
        </w:rPr>
        <w:t xml:space="preserve"> ¶ 148. Plaintiffs allege that, </w:t>
      </w:r>
      <w:proofErr w:type="gramStart"/>
      <w:r w:rsidRPr="00226994">
        <w:rPr>
          <w:rFonts w:ascii="Verdana" w:hAnsi="Verdana"/>
          <w:color w:val="000000" w:themeColor="text1"/>
        </w:rPr>
        <w:t>as a result of</w:t>
      </w:r>
      <w:proofErr w:type="gramEnd"/>
      <w:r w:rsidRPr="00226994">
        <w:rPr>
          <w:rFonts w:ascii="Verdana" w:hAnsi="Verdana"/>
          <w:color w:val="000000" w:themeColor="text1"/>
        </w:rPr>
        <w:t xml:space="preserve"> the Data Breach, they suffered various harms including mitigation efforts or expenses (such as time and money spent placing credit freezes on their accounts, setting up credit alerts, and purchasing credit monitoring), diminution in the value of their personal information, and increased risk of future identity theft or other fraud. </w:t>
      </w:r>
      <w:r w:rsidRPr="00226994">
        <w:rPr>
          <w:rFonts w:ascii="Verdana" w:hAnsi="Verdana"/>
          <w:i/>
          <w:color w:val="000000" w:themeColor="text1"/>
        </w:rPr>
        <w:t>See</w:t>
      </w:r>
      <w:r w:rsidRPr="00226994">
        <w:rPr>
          <w:rFonts w:ascii="Verdana" w:hAnsi="Verdana"/>
          <w:color w:val="000000" w:themeColor="text1"/>
        </w:rPr>
        <w:t xml:space="preserve"> Am. </w:t>
      </w:r>
      <w:proofErr w:type="spellStart"/>
      <w:r w:rsidRPr="00226994">
        <w:rPr>
          <w:rFonts w:ascii="Verdana" w:hAnsi="Verdana"/>
          <w:color w:val="000000" w:themeColor="text1"/>
        </w:rPr>
        <w:t>Compl</w:t>
      </w:r>
      <w:proofErr w:type="spellEnd"/>
      <w:r w:rsidRPr="00226994">
        <w:rPr>
          <w:rFonts w:ascii="Verdana" w:hAnsi="Verdana"/>
          <w:color w:val="000000" w:themeColor="text1"/>
        </w:rPr>
        <w:t xml:space="preserve">. ¶¶ 18-27, 142. Plaintiffs also allege they “did not receive the benefit of their bargain” because, had they known the “truth” about Capital One's “data security practices,” they would not have applied for Capital One credit cards or been willing to pay as much as they did for Capital One's services. </w:t>
      </w:r>
      <w:r w:rsidRPr="00226994">
        <w:rPr>
          <w:rFonts w:ascii="Verdana" w:hAnsi="Verdana"/>
          <w:i/>
          <w:color w:val="000000" w:themeColor="text1"/>
        </w:rPr>
        <w:t>Id.</w:t>
      </w:r>
      <w:r w:rsidRPr="00226994">
        <w:rPr>
          <w:rFonts w:ascii="Verdana" w:hAnsi="Verdana"/>
          <w:color w:val="000000" w:themeColor="text1"/>
        </w:rPr>
        <w:t xml:space="preserve"> ¶ 145. Finally, a subset of seven </w:t>
      </w:r>
      <w:r w:rsidRPr="00226994">
        <w:rPr>
          <w:rFonts w:ascii="Verdana" w:hAnsi="Verdana"/>
          <w:color w:val="000000" w:themeColor="text1"/>
        </w:rPr>
        <w:lastRenderedPageBreak/>
        <w:t xml:space="preserve">Plaintiffs—plaintiffs Behar, Gershen, Palencia, Spacek, Sharp, Tada, and </w:t>
      </w:r>
      <w:proofErr w:type="spellStart"/>
      <w:r w:rsidRPr="00226994">
        <w:rPr>
          <w:rFonts w:ascii="Verdana" w:hAnsi="Verdana"/>
          <w:color w:val="000000" w:themeColor="text1"/>
        </w:rPr>
        <w:t>Zielicke</w:t>
      </w:r>
      <w:proofErr w:type="spellEnd"/>
      <w:r w:rsidRPr="00226994">
        <w:rPr>
          <w:rFonts w:ascii="Verdana" w:hAnsi="Verdana"/>
          <w:color w:val="000000" w:themeColor="text1"/>
        </w:rPr>
        <w:t xml:space="preserve">—allege that they “experienced identity theft and fraud,” </w:t>
      </w:r>
      <w:r w:rsidRPr="00226994">
        <w:rPr>
          <w:rFonts w:ascii="Verdana" w:hAnsi="Verdana"/>
          <w:i/>
          <w:color w:val="000000" w:themeColor="text1"/>
        </w:rPr>
        <w:t>id.</w:t>
      </w:r>
      <w:r w:rsidRPr="00226994">
        <w:rPr>
          <w:rFonts w:ascii="Verdana" w:hAnsi="Verdana"/>
          <w:color w:val="000000" w:themeColor="text1"/>
        </w:rPr>
        <w:t xml:space="preserve"> ¶¶ 20, 21, 23, 27, or have identified unauthorized activity on their accounts, such as unauthorized charges or attempts to open new accounts after the Data Breach, </w:t>
      </w:r>
      <w:r w:rsidRPr="00226994">
        <w:rPr>
          <w:rFonts w:ascii="Verdana" w:hAnsi="Verdana"/>
          <w:i/>
          <w:color w:val="000000" w:themeColor="text1"/>
        </w:rPr>
        <w:t>id.</w:t>
      </w:r>
      <w:r w:rsidRPr="00226994">
        <w:rPr>
          <w:rFonts w:ascii="Verdana" w:hAnsi="Verdana"/>
          <w:color w:val="000000" w:themeColor="text1"/>
        </w:rPr>
        <w:t xml:space="preserve"> ¶¶ 19, 24, 26.</w:t>
      </w:r>
    </w:p>
    <w:p w14:paraId="62691E02" w14:textId="77777777" w:rsidR="00CE3AD9" w:rsidRPr="00226994" w:rsidRDefault="00CE3AD9" w:rsidP="00CE3AD9">
      <w:pPr>
        <w:spacing w:after="0" w:line="275" w:lineRule="atLeast"/>
        <w:jc w:val="both"/>
        <w:rPr>
          <w:rFonts w:ascii="Verdana" w:hAnsi="Verdana"/>
          <w:color w:val="000000" w:themeColor="text1"/>
        </w:rPr>
      </w:pPr>
      <w:r w:rsidRPr="00226994">
        <w:rPr>
          <w:rFonts w:ascii="Verdana" w:hAnsi="Verdana"/>
          <w:color w:val="000000" w:themeColor="text1"/>
        </w:rPr>
        <w:t> </w:t>
      </w:r>
    </w:p>
    <w:p w14:paraId="75B128A9" w14:textId="77777777" w:rsidR="00CE3AD9" w:rsidRPr="00226994" w:rsidRDefault="00CE3AD9" w:rsidP="00CE3AD9">
      <w:pPr>
        <w:spacing w:after="0" w:line="275" w:lineRule="atLeast"/>
        <w:jc w:val="both"/>
        <w:rPr>
          <w:rFonts w:ascii="Verdana" w:hAnsi="Verdana"/>
          <w:color w:val="000000" w:themeColor="text1"/>
        </w:rPr>
      </w:pPr>
      <w:r w:rsidRPr="00226994">
        <w:rPr>
          <w:rFonts w:ascii="Verdana" w:hAnsi="Verdana"/>
          <w:color w:val="000000" w:themeColor="text1"/>
        </w:rPr>
        <w:t xml:space="preserve">In its Amended Complaint, Plaintiffs asserts the following seven (7) causes of action on behalf of a putative nationwide class of all persons whose PII was compromised in the Data Breach: </w:t>
      </w:r>
      <w:r>
        <w:rPr>
          <w:rFonts w:ascii="Verdana" w:hAnsi="Verdana"/>
          <w:color w:val="000000" w:themeColor="text1"/>
        </w:rPr>
        <w:t xml:space="preserve">. . . </w:t>
      </w:r>
      <w:r w:rsidRPr="00226994">
        <w:rPr>
          <w:rFonts w:ascii="Verdana" w:hAnsi="Verdana"/>
          <w:color w:val="000000" w:themeColor="text1"/>
        </w:rPr>
        <w:t>(5) breach of confidence (Count 5)</w:t>
      </w:r>
      <w:r>
        <w:rPr>
          <w:rFonts w:ascii="Verdana" w:hAnsi="Verdana"/>
          <w:color w:val="000000" w:themeColor="text1"/>
        </w:rPr>
        <w:t xml:space="preserve">. </w:t>
      </w:r>
    </w:p>
    <w:p w14:paraId="747B9525" w14:textId="77777777" w:rsidR="00CE3AD9" w:rsidRDefault="00CE3AD9" w:rsidP="00824664">
      <w:pPr>
        <w:spacing w:after="0" w:line="240" w:lineRule="auto"/>
        <w:jc w:val="both"/>
        <w:rPr>
          <w:rFonts w:ascii="Verdana" w:eastAsia="Verdana" w:hAnsi="Verdana" w:cs="Verdana"/>
          <w:color w:val="000000" w:themeColor="text1"/>
        </w:rPr>
      </w:pPr>
    </w:p>
    <w:p w14:paraId="0A823640" w14:textId="77777777" w:rsidR="00CE3AD9" w:rsidRPr="008A688A" w:rsidRDefault="00CE3AD9" w:rsidP="00824664">
      <w:pPr>
        <w:spacing w:after="0" w:line="240" w:lineRule="auto"/>
        <w:jc w:val="both"/>
        <w:rPr>
          <w:rFonts w:ascii="Verdana" w:eastAsia="Verdana" w:hAnsi="Verdana" w:cs="Verdana"/>
          <w:color w:val="000000" w:themeColor="text1"/>
        </w:rPr>
      </w:pPr>
    </w:p>
    <w:p w14:paraId="4C467D22" w14:textId="77777777" w:rsidR="00824664" w:rsidRPr="008A688A" w:rsidRDefault="00824664" w:rsidP="00824664">
      <w:pPr>
        <w:pBdr>
          <w:left w:val="none" w:sz="0" w:space="10" w:color="000000"/>
        </w:pBdr>
        <w:spacing w:after="0" w:line="240" w:lineRule="auto"/>
        <w:rPr>
          <w:rFonts w:ascii="Verdana" w:eastAsia="Verdana" w:hAnsi="Verdana" w:cs="Verdana"/>
          <w:color w:val="000000" w:themeColor="text1"/>
        </w:rPr>
      </w:pPr>
      <w:bookmarkStart w:id="3" w:name="bookmark=id.2et92p0" w:colFirst="0" w:colLast="0"/>
      <w:bookmarkStart w:id="4" w:name="bookmark=id.tyjcwt" w:colFirst="0" w:colLast="0"/>
      <w:bookmarkEnd w:id="3"/>
      <w:bookmarkEnd w:id="4"/>
      <w:r w:rsidRPr="008A688A">
        <w:rPr>
          <w:rFonts w:ascii="Verdana" w:eastAsia="Verdana" w:hAnsi="Verdana" w:cs="Verdana"/>
          <w:b/>
          <w:color w:val="000000" w:themeColor="text1"/>
        </w:rPr>
        <w:t>D. Breach of Confidence</w:t>
      </w:r>
    </w:p>
    <w:p w14:paraId="473B672E" w14:textId="77777777" w:rsidR="00824664" w:rsidRPr="008A688A" w:rsidRDefault="00824664" w:rsidP="00824664">
      <w:pPr>
        <w:tabs>
          <w:tab w:val="left" w:pos="1240"/>
        </w:tabs>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ab/>
      </w:r>
    </w:p>
    <w:p w14:paraId="4CF223C8" w14:textId="77777777" w:rsidR="00824664" w:rsidRPr="008A688A" w:rsidRDefault="00824664" w:rsidP="00824664">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xml:space="preserve">Plaintiffs allege Capital One is liable for “breach of confidence” in taking possession of Plaintiffs' PII in confidence and providing inadequate data security measures to prevent its disclosure. Am. </w:t>
      </w:r>
      <w:proofErr w:type="spellStart"/>
      <w:r w:rsidRPr="008A688A">
        <w:rPr>
          <w:rFonts w:ascii="Verdana" w:eastAsia="Verdana" w:hAnsi="Verdana" w:cs="Verdana"/>
          <w:color w:val="000000" w:themeColor="text1"/>
        </w:rPr>
        <w:t>Compl</w:t>
      </w:r>
      <w:proofErr w:type="spellEnd"/>
      <w:r w:rsidRPr="008A688A">
        <w:rPr>
          <w:rFonts w:ascii="Verdana" w:eastAsia="Verdana" w:hAnsi="Verdana" w:cs="Verdana"/>
          <w:color w:val="000000" w:themeColor="text1"/>
        </w:rPr>
        <w:t xml:space="preserve">. ¶¶ 204-13. According to Plaintiffs, this tort, which involves the unconsented public disclosure to a third-party of nonpublic information, is a cognizable tort under each of the relevant states. [Doc. 427] at 29-30 (citing </w:t>
      </w:r>
      <w:r w:rsidRPr="008A688A">
        <w:rPr>
          <w:rFonts w:ascii="Verdana" w:eastAsia="Verdana" w:hAnsi="Verdana" w:cs="Verdana"/>
          <w:i/>
          <w:color w:val="000000" w:themeColor="text1"/>
        </w:rPr>
        <w:t>McGuire v. Shubert</w:t>
      </w:r>
      <w:r w:rsidRPr="008A688A">
        <w:rPr>
          <w:rFonts w:ascii="Verdana" w:eastAsia="Verdana" w:hAnsi="Verdana" w:cs="Verdana"/>
          <w:color w:val="000000" w:themeColor="text1"/>
        </w:rPr>
        <w:t>, 722 A.2d 1087, 1091 (Pa. Super. Ct. 1998) (recognizing duty between banker and customer that “banker will not divulge to third persons, without the consent of the customer ... any information relating to the customer acquired through the keeping of his account”)).</w:t>
      </w:r>
    </w:p>
    <w:p w14:paraId="005381DB" w14:textId="77777777" w:rsidR="00824664" w:rsidRPr="008A688A" w:rsidRDefault="00824664" w:rsidP="00824664">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1EA96C01" w14:textId="77777777" w:rsidR="00824664" w:rsidRPr="008A688A" w:rsidRDefault="00824664" w:rsidP="00824664">
      <w:pPr>
        <w:numPr>
          <w:ilvl w:val="0"/>
          <w:numId w:val="1"/>
        </w:numPr>
        <w:pBdr>
          <w:top w:val="nil"/>
          <w:left w:val="nil"/>
          <w:bottom w:val="nil"/>
          <w:right w:val="nil"/>
          <w:between w:val="nil"/>
        </w:pBdr>
        <w:spacing w:after="0" w:line="240" w:lineRule="auto"/>
        <w:jc w:val="center"/>
        <w:rPr>
          <w:rFonts w:ascii="Verdana" w:eastAsia="Verdana" w:hAnsi="Verdana" w:cs="Verdana"/>
          <w:b/>
          <w:color w:val="000000" w:themeColor="text1"/>
        </w:rPr>
      </w:pPr>
      <w:bookmarkStart w:id="5" w:name="bookmark=id.3dy6vkm" w:colFirst="0" w:colLast="0"/>
      <w:bookmarkEnd w:id="5"/>
      <w:r w:rsidRPr="008A688A">
        <w:rPr>
          <w:rFonts w:ascii="Verdana" w:eastAsia="Verdana" w:hAnsi="Verdana" w:cs="Verdana"/>
          <w:b/>
          <w:color w:val="000000" w:themeColor="text1"/>
        </w:rPr>
        <w:t>Virginia</w:t>
      </w:r>
    </w:p>
    <w:p w14:paraId="64A113BE" w14:textId="77777777" w:rsidR="00824664" w:rsidRPr="008A688A" w:rsidRDefault="00824664" w:rsidP="00824664">
      <w:pPr>
        <w:spacing w:after="0" w:line="240" w:lineRule="auto"/>
        <w:rPr>
          <w:rFonts w:ascii="Verdana" w:eastAsia="Verdana" w:hAnsi="Verdana" w:cs="Verdana"/>
          <w:color w:val="000000" w:themeColor="text1"/>
        </w:rPr>
      </w:pPr>
    </w:p>
    <w:p w14:paraId="127F3CCA" w14:textId="77777777" w:rsidR="00824664" w:rsidRPr="008A688A" w:rsidRDefault="00824664" w:rsidP="00824664">
      <w:pPr>
        <w:spacing w:after="0" w:line="240" w:lineRule="auto"/>
        <w:jc w:val="both"/>
        <w:rPr>
          <w:rFonts w:ascii="Verdana" w:eastAsia="Verdana" w:hAnsi="Verdana" w:cs="Verdana"/>
          <w:color w:val="000000" w:themeColor="text1"/>
        </w:rPr>
      </w:pPr>
      <w:bookmarkStart w:id="6" w:name="bookmark=id.1t3h5sf" w:colFirst="0" w:colLast="0"/>
      <w:bookmarkEnd w:id="6"/>
      <w:r w:rsidRPr="008A688A">
        <w:rPr>
          <w:rFonts w:ascii="Verdana" w:eastAsia="Verdana" w:hAnsi="Verdana" w:cs="Verdana"/>
          <w:color w:val="000000" w:themeColor="text1"/>
        </w:rPr>
        <w:t xml:space="preserve">To date, no Virginia court has recognized the tort for the breach of confidence within the context of a bank-client relationship; and the Court has no reason to think that the Supreme Court of Virginia would recognize such a tort under the facts of this case. </w:t>
      </w:r>
      <w:r w:rsidRPr="008A688A">
        <w:rPr>
          <w:rFonts w:ascii="Verdana" w:eastAsia="Verdana" w:hAnsi="Verdana" w:cs="Verdana"/>
          <w:i/>
          <w:color w:val="000000" w:themeColor="text1"/>
        </w:rPr>
        <w:t>See M-CAM v. Richard D'Agostino</w:t>
      </w:r>
      <w:r w:rsidRPr="008A688A">
        <w:rPr>
          <w:rFonts w:ascii="Verdana" w:eastAsia="Verdana" w:hAnsi="Verdana" w:cs="Verdana"/>
          <w:color w:val="000000" w:themeColor="text1"/>
        </w:rPr>
        <w:t xml:space="preserve">, 2005 U.S. Dist. LEXIS 45289, *5, 2005 WL 2123400, *2 (W.D. Va. Sep. 1, 2005) (“Furthermore, there is no common law cause of action for such a breach of confidentiality under Virginia law.”). The Plaintiffs have therefore failed to state a claim under Virginia law for the tort of breach of confidence. </w:t>
      </w:r>
    </w:p>
    <w:p w14:paraId="364BBFEA" w14:textId="77777777" w:rsidR="00824664" w:rsidRPr="008A688A" w:rsidRDefault="00824664" w:rsidP="00824664">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130E4622" w14:textId="77777777" w:rsidR="00824664" w:rsidRPr="008A688A" w:rsidRDefault="00824664" w:rsidP="00824664">
      <w:pPr>
        <w:numPr>
          <w:ilvl w:val="0"/>
          <w:numId w:val="1"/>
        </w:numPr>
        <w:pBdr>
          <w:top w:val="nil"/>
          <w:left w:val="nil"/>
          <w:bottom w:val="nil"/>
          <w:right w:val="nil"/>
          <w:between w:val="nil"/>
        </w:pBdr>
        <w:spacing w:after="0" w:line="240" w:lineRule="auto"/>
        <w:jc w:val="center"/>
        <w:rPr>
          <w:rFonts w:ascii="Verdana" w:eastAsia="Verdana" w:hAnsi="Verdana" w:cs="Verdana"/>
          <w:b/>
          <w:color w:val="000000" w:themeColor="text1"/>
        </w:rPr>
      </w:pPr>
      <w:bookmarkStart w:id="7" w:name="bookmark=id.4d34og8" w:colFirst="0" w:colLast="0"/>
      <w:bookmarkEnd w:id="7"/>
      <w:r w:rsidRPr="008A688A">
        <w:rPr>
          <w:rFonts w:ascii="Verdana" w:eastAsia="Verdana" w:hAnsi="Verdana" w:cs="Verdana"/>
          <w:b/>
          <w:color w:val="000000" w:themeColor="text1"/>
        </w:rPr>
        <w:t>Florida</w:t>
      </w:r>
    </w:p>
    <w:p w14:paraId="25A53CD4" w14:textId="77777777" w:rsidR="00824664" w:rsidRPr="008A688A" w:rsidRDefault="00824664" w:rsidP="00824664">
      <w:pPr>
        <w:spacing w:after="0" w:line="240" w:lineRule="auto"/>
        <w:rPr>
          <w:rFonts w:ascii="Verdana" w:eastAsia="Verdana" w:hAnsi="Verdana" w:cs="Verdana"/>
          <w:color w:val="000000" w:themeColor="text1"/>
        </w:rPr>
      </w:pPr>
    </w:p>
    <w:p w14:paraId="4F1B4684" w14:textId="77777777" w:rsidR="00824664" w:rsidRPr="008A688A" w:rsidRDefault="00824664" w:rsidP="00824664">
      <w:pPr>
        <w:spacing w:after="0" w:line="240" w:lineRule="auto"/>
        <w:jc w:val="both"/>
        <w:rPr>
          <w:rFonts w:ascii="Verdana" w:eastAsia="Verdana" w:hAnsi="Verdana" w:cs="Verdana"/>
          <w:color w:val="000000" w:themeColor="text1"/>
        </w:rPr>
      </w:pPr>
      <w:bookmarkStart w:id="8" w:name="bookmark=id.2s8eyo1" w:colFirst="0" w:colLast="0"/>
      <w:bookmarkEnd w:id="8"/>
      <w:r w:rsidRPr="008A688A">
        <w:rPr>
          <w:rFonts w:ascii="Verdana" w:eastAsia="Verdana" w:hAnsi="Verdana" w:cs="Verdana"/>
          <w:color w:val="000000" w:themeColor="text1"/>
        </w:rPr>
        <w:t xml:space="preserve">Plaintiffs have asserted a plausible breach of confidence action under Florida law. In </w:t>
      </w:r>
      <w:r w:rsidRPr="008A688A">
        <w:rPr>
          <w:rFonts w:ascii="Verdana" w:eastAsia="Verdana" w:hAnsi="Verdana" w:cs="Verdana"/>
          <w:i/>
          <w:color w:val="000000" w:themeColor="text1"/>
        </w:rPr>
        <w:t xml:space="preserve">Milohnich v. First </w:t>
      </w:r>
      <w:proofErr w:type="spellStart"/>
      <w:r w:rsidRPr="008A688A">
        <w:rPr>
          <w:rFonts w:ascii="Verdana" w:eastAsia="Verdana" w:hAnsi="Verdana" w:cs="Verdana"/>
          <w:i/>
          <w:color w:val="000000" w:themeColor="text1"/>
        </w:rPr>
        <w:t>Nat'l</w:t>
      </w:r>
      <w:proofErr w:type="spellEnd"/>
      <w:r w:rsidRPr="008A688A">
        <w:rPr>
          <w:rFonts w:ascii="Verdana" w:eastAsia="Verdana" w:hAnsi="Verdana" w:cs="Verdana"/>
          <w:i/>
          <w:color w:val="000000" w:themeColor="text1"/>
        </w:rPr>
        <w:t xml:space="preserve"> Bank</w:t>
      </w:r>
      <w:r w:rsidRPr="008A688A">
        <w:rPr>
          <w:rFonts w:ascii="Verdana" w:eastAsia="Verdana" w:hAnsi="Verdana" w:cs="Verdana"/>
          <w:color w:val="000000" w:themeColor="text1"/>
        </w:rPr>
        <w:t xml:space="preserve">, 224 So. 2d 759, 762 (Fla. Ct. App. 1969), a Florida Court of Appeals recognized an “implied duty on the part of a national bank not to disclose information negligently, willfully or maliciously or intentionally to third parties, concerning the depositor's account.” In </w:t>
      </w:r>
      <w:r w:rsidRPr="008A688A">
        <w:rPr>
          <w:rFonts w:ascii="Verdana" w:eastAsia="Verdana" w:hAnsi="Verdana" w:cs="Verdana"/>
          <w:i/>
          <w:color w:val="000000" w:themeColor="text1"/>
        </w:rPr>
        <w:t>Barnett Bank of West Florida v. Hooper</w:t>
      </w:r>
      <w:r w:rsidRPr="008A688A">
        <w:rPr>
          <w:rFonts w:ascii="Verdana" w:eastAsia="Verdana" w:hAnsi="Verdana" w:cs="Verdana"/>
          <w:color w:val="000000" w:themeColor="text1"/>
        </w:rPr>
        <w:t xml:space="preserve">, 498 So. 2d 923, 925 (Fla. 1986), the Supreme Court of Florida concluded that a bank's implied duty to confidentiality to its depositors recognized in </w:t>
      </w:r>
      <w:r w:rsidRPr="008A688A">
        <w:rPr>
          <w:rFonts w:ascii="Verdana" w:eastAsia="Verdana" w:hAnsi="Verdana" w:cs="Verdana"/>
          <w:i/>
          <w:color w:val="000000" w:themeColor="text1"/>
        </w:rPr>
        <w:t>Milohnich</w:t>
      </w:r>
      <w:r w:rsidRPr="008A688A">
        <w:rPr>
          <w:rFonts w:ascii="Verdana" w:eastAsia="Verdana" w:hAnsi="Verdana" w:cs="Verdana"/>
          <w:color w:val="000000" w:themeColor="text1"/>
        </w:rPr>
        <w:t xml:space="preserve"> was not absolute; and that instead, a bank may, under certain circumstances, not be liable for disclosure provided the disclosure was pursuant to a public interest or competing public duty. </w:t>
      </w:r>
      <w:r w:rsidRPr="008A688A">
        <w:rPr>
          <w:rFonts w:ascii="Verdana" w:eastAsia="Verdana" w:hAnsi="Verdana" w:cs="Verdana"/>
          <w:i/>
          <w:color w:val="000000" w:themeColor="text1"/>
        </w:rPr>
        <w:t>Id.</w:t>
      </w:r>
      <w:r w:rsidRPr="008A688A">
        <w:rPr>
          <w:rFonts w:ascii="Verdana" w:eastAsia="Verdana" w:hAnsi="Verdana" w:cs="Verdana"/>
          <w:color w:val="000000" w:themeColor="text1"/>
        </w:rPr>
        <w:t xml:space="preserve"> at 925-28.</w:t>
      </w:r>
    </w:p>
    <w:p w14:paraId="646D03F4" w14:textId="77777777" w:rsidR="00824664" w:rsidRPr="008A688A" w:rsidRDefault="00824664" w:rsidP="00824664">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453D84DA" w14:textId="77777777" w:rsidR="00824664" w:rsidRPr="008A688A" w:rsidRDefault="00824664" w:rsidP="00824664">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xml:space="preserve">Here, Plaintiffs allege that Capital One allowed a known vulnerability to persist on its systems which, left unresolved, effectively exposed the bank's customers' data to potential breach. That exposure was predicated on, at the least, a negligent act on </w:t>
      </w:r>
      <w:r w:rsidRPr="008A688A">
        <w:rPr>
          <w:rFonts w:ascii="Verdana" w:eastAsia="Verdana" w:hAnsi="Verdana" w:cs="Verdana"/>
          <w:color w:val="000000" w:themeColor="text1"/>
        </w:rPr>
        <w:lastRenderedPageBreak/>
        <w:t xml:space="preserve">the part of the Defendants not to remedy certain deficiencies. Neither Defendant asserts that there is a competing duty and/or public interest, as announced in </w:t>
      </w:r>
      <w:r w:rsidRPr="008A688A">
        <w:rPr>
          <w:rFonts w:ascii="Verdana" w:eastAsia="Verdana" w:hAnsi="Verdana" w:cs="Verdana"/>
          <w:i/>
          <w:color w:val="000000" w:themeColor="text1"/>
        </w:rPr>
        <w:t>Barnett</w:t>
      </w:r>
      <w:r w:rsidRPr="008A688A">
        <w:rPr>
          <w:rFonts w:ascii="Verdana" w:eastAsia="Verdana" w:hAnsi="Verdana" w:cs="Verdana"/>
          <w:color w:val="000000" w:themeColor="text1"/>
        </w:rPr>
        <w:t>, that justifies the information's disclosure. Therefore, the Court concludes that, under Florida law, the Plaintiffs have plausibly alleged a claim for breach of confidence.</w:t>
      </w:r>
    </w:p>
    <w:p w14:paraId="641E7789" w14:textId="77777777" w:rsidR="00824664" w:rsidRPr="008A688A" w:rsidRDefault="00824664" w:rsidP="00824664">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w:t>
      </w:r>
    </w:p>
    <w:p w14:paraId="7FDCA286" w14:textId="77777777" w:rsidR="00824664" w:rsidRPr="008A688A" w:rsidRDefault="00824664" w:rsidP="00824664">
      <w:pPr>
        <w:spacing w:after="0" w:line="240" w:lineRule="auto"/>
        <w:jc w:val="center"/>
        <w:rPr>
          <w:rFonts w:ascii="Verdana" w:eastAsia="Verdana" w:hAnsi="Verdana" w:cs="Verdana"/>
          <w:color w:val="000000" w:themeColor="text1"/>
        </w:rPr>
      </w:pPr>
      <w:bookmarkStart w:id="9" w:name="bookmark=id.17dp8vu" w:colFirst="0" w:colLast="0"/>
      <w:bookmarkEnd w:id="9"/>
      <w:r w:rsidRPr="008A688A">
        <w:rPr>
          <w:rFonts w:ascii="Verdana" w:eastAsia="Verdana" w:hAnsi="Verdana" w:cs="Verdana"/>
          <w:b/>
          <w:color w:val="000000" w:themeColor="text1"/>
        </w:rPr>
        <w:t>3. California</w:t>
      </w:r>
    </w:p>
    <w:p w14:paraId="4E53F420" w14:textId="77777777" w:rsidR="00824664" w:rsidRPr="008A688A" w:rsidRDefault="00824664" w:rsidP="00824664">
      <w:pPr>
        <w:spacing w:after="0" w:line="240" w:lineRule="auto"/>
        <w:jc w:val="both"/>
        <w:rPr>
          <w:rFonts w:ascii="Verdana" w:eastAsia="Verdana" w:hAnsi="Verdana" w:cs="Verdana"/>
          <w:color w:val="000000" w:themeColor="text1"/>
        </w:rPr>
      </w:pPr>
      <w:bookmarkStart w:id="10" w:name="bookmark=id.26in1rg" w:colFirst="0" w:colLast="0"/>
      <w:bookmarkStart w:id="11" w:name="bookmark=id.3rdcrjn" w:colFirst="0" w:colLast="0"/>
      <w:bookmarkStart w:id="12" w:name="bookmark=id.35nkun2" w:colFirst="0" w:colLast="0"/>
      <w:bookmarkStart w:id="13" w:name="bookmark=id.lnxbz9" w:colFirst="0" w:colLast="0"/>
      <w:bookmarkEnd w:id="10"/>
      <w:bookmarkEnd w:id="11"/>
      <w:bookmarkEnd w:id="12"/>
      <w:bookmarkEnd w:id="13"/>
    </w:p>
    <w:p w14:paraId="05C95CCD" w14:textId="77777777" w:rsidR="00824664" w:rsidRPr="008A688A" w:rsidRDefault="00824664" w:rsidP="00824664">
      <w:pPr>
        <w:spacing w:after="0" w:line="240" w:lineRule="auto"/>
        <w:jc w:val="both"/>
        <w:rPr>
          <w:rFonts w:ascii="Verdana" w:eastAsia="Verdana" w:hAnsi="Verdana" w:cs="Verdana"/>
          <w:color w:val="000000" w:themeColor="text1"/>
        </w:rPr>
      </w:pPr>
      <w:r w:rsidRPr="008A688A">
        <w:rPr>
          <w:rFonts w:ascii="Verdana" w:eastAsia="Verdana" w:hAnsi="Verdana" w:cs="Verdana"/>
          <w:color w:val="000000" w:themeColor="text1"/>
        </w:rPr>
        <w:t xml:space="preserve">California courts have specifically recognized the tort of breach of confidence. </w:t>
      </w:r>
      <w:r w:rsidRPr="008A688A">
        <w:rPr>
          <w:rFonts w:ascii="Verdana" w:eastAsia="Verdana" w:hAnsi="Verdana" w:cs="Verdana"/>
          <w:i/>
          <w:color w:val="000000" w:themeColor="text1"/>
        </w:rPr>
        <w:t>Faris v. Enberg</w:t>
      </w:r>
      <w:r w:rsidRPr="008A688A">
        <w:rPr>
          <w:rFonts w:ascii="Verdana" w:eastAsia="Verdana" w:hAnsi="Verdana" w:cs="Verdana"/>
          <w:color w:val="000000" w:themeColor="text1"/>
        </w:rPr>
        <w:t xml:space="preserve">, 97 Cal.App.3d 309, 158 Cal. </w:t>
      </w:r>
      <w:proofErr w:type="spellStart"/>
      <w:r w:rsidRPr="008A688A">
        <w:rPr>
          <w:rFonts w:ascii="Verdana" w:eastAsia="Verdana" w:hAnsi="Verdana" w:cs="Verdana"/>
          <w:color w:val="000000" w:themeColor="text1"/>
        </w:rPr>
        <w:t>Rptr</w:t>
      </w:r>
      <w:proofErr w:type="spellEnd"/>
      <w:r w:rsidRPr="008A688A">
        <w:rPr>
          <w:rFonts w:ascii="Verdana" w:eastAsia="Verdana" w:hAnsi="Verdana" w:cs="Verdana"/>
          <w:color w:val="000000" w:themeColor="text1"/>
        </w:rPr>
        <w:t xml:space="preserve">. 704, 711 (Cal. App. Div. 1979). “This tort is based upon the concept of an implied obligation or contract between the parties that confidential information will not be disclosed.” </w:t>
      </w:r>
      <w:r w:rsidRPr="008A688A">
        <w:rPr>
          <w:rFonts w:ascii="Verdana" w:eastAsia="Verdana" w:hAnsi="Verdana" w:cs="Verdana"/>
          <w:i/>
          <w:color w:val="000000" w:themeColor="text1"/>
        </w:rPr>
        <w:t>Enter. Research Group, Inc. v. Genesis Creative Group, Inc.</w:t>
      </w:r>
      <w:r w:rsidRPr="008A688A">
        <w:rPr>
          <w:rFonts w:ascii="Verdana" w:eastAsia="Verdana" w:hAnsi="Verdana" w:cs="Verdana"/>
          <w:color w:val="000000" w:themeColor="text1"/>
        </w:rPr>
        <w:t xml:space="preserve">, 122 F.3d 1211, 1226-27 (9th Cir.1997) (construing California law). “To prevail on a claim for breach of confidence under California law, a plaintiff must demonstrate that: (1) the plaintiff conveyed ‘confidential and novel information’ to the defendant; (2) the defendant had knowledge that the information was being disclosed in confidence; (3) there was an understanding between the defendant and the plaintiff that the confidence be maintained; and (4) there was a disclosure or use in violation of the understanding.” </w:t>
      </w:r>
      <w:r w:rsidRPr="008A688A">
        <w:rPr>
          <w:rFonts w:ascii="Verdana" w:eastAsia="Verdana" w:hAnsi="Verdana" w:cs="Verdana"/>
          <w:i/>
          <w:color w:val="000000" w:themeColor="text1"/>
        </w:rPr>
        <w:t>Enter. Research Group</w:t>
      </w:r>
      <w:r w:rsidRPr="008A688A">
        <w:rPr>
          <w:rFonts w:ascii="Verdana" w:eastAsia="Verdana" w:hAnsi="Verdana" w:cs="Verdana"/>
          <w:color w:val="000000" w:themeColor="text1"/>
        </w:rPr>
        <w:t xml:space="preserve">, 122 F.3d at 1227. Plaintiffs have alleged facts that make a breach of confidence claim plausible under California law. </w:t>
      </w:r>
    </w:p>
    <w:p w14:paraId="437BAA6A" w14:textId="77777777" w:rsidR="00865EB2" w:rsidRDefault="00865EB2"/>
    <w:sectPr w:rsidR="00865E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05A96"/>
    <w:multiLevelType w:val="multilevel"/>
    <w:tmpl w:val="DE88A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1958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64"/>
    <w:rsid w:val="000479DD"/>
    <w:rsid w:val="00824664"/>
    <w:rsid w:val="00865EB2"/>
    <w:rsid w:val="008B5EC0"/>
    <w:rsid w:val="00CE3AD9"/>
    <w:rsid w:val="00E1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9B19"/>
  <w15:chartTrackingRefBased/>
  <w15:docId w15:val="{FCBB9ABC-80BC-4C92-A994-DBA008F6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64"/>
    <w:pPr>
      <w:spacing w:after="160" w:line="259" w:lineRule="auto"/>
    </w:pPr>
    <w:rPr>
      <w:rFonts w:asciiTheme="minorHAnsi" w:eastAsiaTheme="minorEastAsia" w:hAnsiTheme="minorHAnsi" w:cstheme="minorBidi"/>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estlaw.com/Link/Document/FullText?findType=Y&amp;serNum=2012293296&amp;pubNum=0000780&amp;originatingDoc=I53e1dbf0fc9c11ea8795a045e29a2a7b&amp;refType=RP&amp;fi=co_pp_sp_780_555&amp;originationContext=document&amp;vr=3.0&amp;rs=cblt1.0&amp;transitionType=DocumentItem&amp;contextData=(sc.Defa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1594</Words>
  <Characters>9091</Characters>
  <Application>Microsoft Office Word</Application>
  <DocSecurity>0</DocSecurity>
  <Lines>75</Lines>
  <Paragraphs>21</Paragraphs>
  <ScaleCrop>false</ScaleCrop>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2</cp:revision>
  <dcterms:created xsi:type="dcterms:W3CDTF">2024-01-16T00:24:00Z</dcterms:created>
  <dcterms:modified xsi:type="dcterms:W3CDTF">2024-01-24T16:30:00Z</dcterms:modified>
</cp:coreProperties>
</file>